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rPr>
          <w:rFonts w:hint="default" w:ascii="仿宋_GB2312" w:hAnsi="宋体" w:eastAsia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hAnsi="宋体" w:eastAsia="仿宋_GB2312"/>
          <w:b/>
          <w:bCs/>
          <w:sz w:val="44"/>
          <w:szCs w:val="44"/>
          <w:lang w:val="en-US" w:eastAsia="zh-CN"/>
        </w:rPr>
        <w:t>沛县博物馆</w:t>
      </w:r>
      <w:r>
        <w:rPr>
          <w:rFonts w:hint="eastAsia" w:ascii="仿宋_GB2312" w:hAnsi="宋体" w:eastAsia="仿宋_GB2312"/>
          <w:b/>
          <w:bCs/>
          <w:sz w:val="44"/>
          <w:szCs w:val="44"/>
          <w:lang w:val="en-US" w:eastAsia="zh-CN"/>
        </w:rPr>
        <w:t>2023年</w:t>
      </w:r>
      <w:r>
        <w:rPr>
          <w:rFonts w:hint="default" w:ascii="仿宋_GB2312" w:hAnsi="宋体" w:eastAsia="仿宋_GB2312"/>
          <w:b/>
          <w:bCs/>
          <w:sz w:val="44"/>
          <w:szCs w:val="44"/>
          <w:lang w:val="en-US" w:eastAsia="zh-CN"/>
        </w:rPr>
        <w:t>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一、继续以创建国家二级博物馆为抓手，加强内部管理和作风建设，建立健全各项规章制度。做好免费开放工作，做好沛县博物馆景区国家3A级旅游景区创建工作。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二、做好馆藏文物安全防范工作，确保馆藏文物安全</w:t>
      </w:r>
      <w:bookmarkStart w:id="0" w:name="_GoBack"/>
      <w:bookmarkEnd w:id="0"/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。积极推进《沛县博物馆藏文物预防性保护项目》的实施，推进《沛县博物馆安防系统提升改造工程》采购和项目实施，做好《沛县博物馆可移动文物数字化保护方案》的资金落实和项目实施，积极跟进《沛县博物馆馆藏陶质彩绘文物保护方案》的专家评估和资金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三、做好《沛县博物馆新馆图录》的编撰和出版工作。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四、继续加强馆校合作，让移动博物馆打通乡村学校的最后一公里，让农村及偏远地区孩子享受同等博物馆教育。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五、创新临展思路，挖掘沛县非遗资源，做大众喜闻乐见临时展览。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六、不断提升博物馆业务技能和服务水平，积极组织各类线上业务培训和线下专家讲座，培养博物馆高素质专业人才。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t>七、继续做好2024年博物馆评估定级的前期准备工作，做好全国文明城市创建工作和爱国主义教育基地各项活动，及时完成上级行政部门和业务部门交办的工作任务。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YTUwOTU2MWFlN2IzM2UyNGY4NGY0MDcyMGIyNzkifQ=="/>
  </w:docVars>
  <w:rsids>
    <w:rsidRoot w:val="78C71AD6"/>
    <w:rsid w:val="116A1DDC"/>
    <w:rsid w:val="54E23161"/>
    <w:rsid w:val="578E699A"/>
    <w:rsid w:val="60A106FB"/>
    <w:rsid w:val="78C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2024-02-02T09:08:00Z</dcterms:created>
  <dc:creator>15252286698手机用户</dc:creator>
  <cp:lastModifiedBy>15252286698手机用户</cp:lastModifiedBy>
  <dcterms:modified xsi:type="dcterms:W3CDTF">2024-02-02T09:09:04Z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82DD686D705648339C0B193EF1634C9A_11</vt:lpwstr>
  </property>
</Properties>
</file>